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5D65F" w14:textId="697C9492"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AC1427">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5F75EC1"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procuração apresentada nos autos</w:t>
      </w:r>
      <w:r w:rsidRPr="009872FB">
        <w:rPr>
          <w:rFonts w:ascii="Arial" w:hAnsi="Arial" w:cs="Arial"/>
          <w:sz w:val="22"/>
          <w:szCs w:val="22"/>
        </w:rPr>
        <w:t xml:space="preserve"> tendo em vista o que consta no </w:t>
      </w:r>
      <w:r w:rsidR="005466C3" w:rsidRPr="009872FB">
        <w:rPr>
          <w:rFonts w:ascii="Arial" w:hAnsi="Arial" w:cs="Arial"/>
          <w:b/>
          <w:bCs/>
          <w:sz w:val="22"/>
          <w:szCs w:val="22"/>
        </w:rPr>
        <w:t xml:space="preserve">Processo </w:t>
      </w:r>
      <w:r w:rsidR="005466C3" w:rsidRPr="0036493F">
        <w:rPr>
          <w:rFonts w:ascii="Arial" w:hAnsi="Arial" w:cs="Arial"/>
          <w:b/>
          <w:bCs/>
          <w:sz w:val="22"/>
          <w:szCs w:val="22"/>
        </w:rPr>
        <w:t xml:space="preserve">Administrativo nº </w:t>
      </w:r>
      <w:r w:rsidR="0036493F" w:rsidRPr="0036493F">
        <w:rPr>
          <w:rFonts w:ascii="Arial" w:hAnsi="Arial" w:cs="Arial"/>
          <w:b/>
          <w:bCs/>
          <w:sz w:val="22"/>
          <w:szCs w:val="22"/>
        </w:rPr>
        <w:t>40.946/2025</w:t>
      </w:r>
      <w:r w:rsidR="00776D41" w:rsidRPr="0036493F">
        <w:rPr>
          <w:rFonts w:ascii="Arial" w:hAnsi="Arial" w:cs="Arial"/>
          <w:b/>
          <w:bCs/>
          <w:sz w:val="22"/>
          <w:szCs w:val="22"/>
        </w:rPr>
        <w:t>,</w:t>
      </w:r>
      <w:r w:rsidR="005466C3" w:rsidRPr="0036493F">
        <w:rPr>
          <w:rFonts w:ascii="Arial" w:hAnsi="Arial" w:cs="Arial"/>
          <w:b/>
          <w:bCs/>
          <w:sz w:val="22"/>
          <w:szCs w:val="22"/>
        </w:rPr>
        <w:t xml:space="preserve"> </w:t>
      </w:r>
      <w:r w:rsidRPr="0036493F">
        <w:rPr>
          <w:rFonts w:ascii="Arial" w:hAnsi="Arial" w:cs="Arial"/>
          <w:sz w:val="22"/>
          <w:szCs w:val="22"/>
        </w:rPr>
        <w:t xml:space="preserve">e em observância às disposições da Lei nº </w:t>
      </w:r>
      <w:r w:rsidR="00F232EF" w:rsidRPr="0036493F">
        <w:rPr>
          <w:rFonts w:ascii="Arial" w:hAnsi="Arial" w:cs="Arial"/>
          <w:sz w:val="22"/>
          <w:szCs w:val="22"/>
        </w:rPr>
        <w:t xml:space="preserve">14.133, </w:t>
      </w:r>
      <w:r w:rsidR="009872FB" w:rsidRPr="0036493F">
        <w:rPr>
          <w:rFonts w:ascii="Arial" w:hAnsi="Arial" w:cs="Arial"/>
          <w:sz w:val="22"/>
          <w:szCs w:val="22"/>
        </w:rPr>
        <w:t xml:space="preserve">de 1º de abril </w:t>
      </w:r>
      <w:r w:rsidR="00F232EF" w:rsidRPr="0036493F">
        <w:rPr>
          <w:rFonts w:ascii="Arial" w:hAnsi="Arial" w:cs="Arial"/>
          <w:sz w:val="22"/>
          <w:szCs w:val="22"/>
        </w:rPr>
        <w:t>de 2021</w:t>
      </w:r>
      <w:r w:rsidR="0050761F" w:rsidRPr="0036493F">
        <w:rPr>
          <w:rFonts w:ascii="Arial" w:hAnsi="Arial" w:cs="Arial"/>
          <w:sz w:val="22"/>
          <w:szCs w:val="22"/>
        </w:rPr>
        <w:t xml:space="preserve"> </w:t>
      </w:r>
      <w:r w:rsidR="0050761F" w:rsidRPr="0036493F">
        <w:rPr>
          <w:rFonts w:ascii="Arial" w:hAnsi="Arial" w:cs="Arial"/>
          <w:sz w:val="22"/>
          <w:szCs w:val="22"/>
          <w:lang w:val="pt-PT"/>
        </w:rPr>
        <w:t xml:space="preserve">e </w:t>
      </w:r>
      <w:r w:rsidR="009872FB" w:rsidRPr="0036493F">
        <w:rPr>
          <w:rFonts w:ascii="Arial" w:hAnsi="Arial" w:cs="Arial"/>
          <w:sz w:val="22"/>
          <w:szCs w:val="22"/>
          <w:lang w:val="pt-PT"/>
        </w:rPr>
        <w:t>demais legislações aplicáveis</w:t>
      </w:r>
      <w:r w:rsidR="006306EF" w:rsidRPr="0036493F">
        <w:rPr>
          <w:rFonts w:ascii="Arial" w:hAnsi="Arial" w:cs="Arial"/>
          <w:sz w:val="22"/>
          <w:szCs w:val="22"/>
        </w:rPr>
        <w:t>,</w:t>
      </w:r>
      <w:r w:rsidRPr="0036493F">
        <w:rPr>
          <w:rFonts w:ascii="Arial" w:hAnsi="Arial" w:cs="Arial"/>
          <w:i/>
          <w:sz w:val="22"/>
          <w:szCs w:val="22"/>
        </w:rPr>
        <w:t xml:space="preserve"> </w:t>
      </w:r>
      <w:r w:rsidRPr="0036493F">
        <w:rPr>
          <w:rFonts w:ascii="Arial" w:hAnsi="Arial" w:cs="Arial"/>
          <w:sz w:val="22"/>
          <w:szCs w:val="22"/>
        </w:rPr>
        <w:t xml:space="preserve">resolvem celebrar o presente Termo de Contrato, decorrente do </w:t>
      </w:r>
      <w:r w:rsidR="005466C3" w:rsidRPr="0036493F">
        <w:rPr>
          <w:rFonts w:ascii="Arial" w:hAnsi="Arial" w:cs="Arial"/>
          <w:b/>
          <w:bCs/>
          <w:sz w:val="22"/>
          <w:szCs w:val="22"/>
        </w:rPr>
        <w:t>Pregão Eletrônico</w:t>
      </w:r>
      <w:r w:rsidR="000B23ED" w:rsidRPr="0036493F">
        <w:rPr>
          <w:rFonts w:ascii="Arial" w:hAnsi="Arial" w:cs="Arial"/>
          <w:b/>
          <w:bCs/>
          <w:sz w:val="22"/>
          <w:szCs w:val="22"/>
        </w:rPr>
        <w:t xml:space="preserve"> </w:t>
      </w:r>
      <w:r w:rsidR="005466C3" w:rsidRPr="0036493F">
        <w:rPr>
          <w:rFonts w:ascii="Arial" w:hAnsi="Arial" w:cs="Arial"/>
          <w:b/>
          <w:bCs/>
          <w:sz w:val="22"/>
          <w:szCs w:val="22"/>
        </w:rPr>
        <w:t xml:space="preserve">nº </w:t>
      </w:r>
      <w:r w:rsidR="0036493F" w:rsidRPr="0036493F">
        <w:rPr>
          <w:rFonts w:ascii="Arial" w:hAnsi="Arial" w:cs="Arial"/>
          <w:b/>
          <w:bCs/>
          <w:sz w:val="22"/>
          <w:szCs w:val="22"/>
        </w:rPr>
        <w:t>90.1</w:t>
      </w:r>
      <w:r w:rsidR="00341875">
        <w:rPr>
          <w:rFonts w:ascii="Arial" w:hAnsi="Arial" w:cs="Arial"/>
          <w:b/>
          <w:bCs/>
          <w:sz w:val="22"/>
          <w:szCs w:val="22"/>
        </w:rPr>
        <w:t>7</w:t>
      </w:r>
      <w:r w:rsidR="0036493F" w:rsidRPr="0036493F">
        <w:rPr>
          <w:rFonts w:ascii="Arial" w:hAnsi="Arial" w:cs="Arial"/>
          <w:b/>
          <w:bCs/>
          <w:sz w:val="22"/>
          <w:szCs w:val="22"/>
        </w:rPr>
        <w:t>6/2025</w:t>
      </w:r>
      <w:r w:rsidRPr="0036493F">
        <w:rPr>
          <w:rFonts w:ascii="Arial" w:hAnsi="Arial" w:cs="Arial"/>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1BB2B7E8"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0C2AA7" w:rsidRPr="000C2AA7">
        <w:rPr>
          <w:rFonts w:ascii="Arial" w:eastAsiaTheme="majorEastAsia" w:hAnsi="Arial" w:cs="Arial"/>
          <w:b/>
          <w:bCs/>
          <w:lang w:val="pt-BR" w:eastAsia="pt-BR"/>
        </w:rPr>
        <w:t>CONTRATAÇÃO DE EMPRESA ESPECIALIZADA PARA OS SERVIÇOS DE LOCAÇÃO DE MÓDULOS OCTANORM, TENDAS, GRADIS, ARQUIBANCADAS E PISOS PARA EVENTOS, para atender as necessidades da Secretaria de Turismo e da Secretaria de Cultura</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68894C8D" w14:textId="3245EF16"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 xml:space="preserve">O prazo de vigência da contratação é de .............................. contados do(a) ............................., prorrogável por até 10 anos, na forma dos </w:t>
      </w:r>
      <w:r>
        <w:fldChar w:fldCharType="begin"/>
      </w:r>
      <w:r>
        <w:instrText>HYPERLINK "http://www.planalto.gov.br/ccivil_03/_ato2019-2022/2021/lei/L14133.htm" \l "art106"</w:instrText>
      </w:r>
      <w:r>
        <w:fldChar w:fldCharType="separate"/>
      </w:r>
      <w:r w:rsidRPr="000C2AA7">
        <w:rPr>
          <w:rFonts w:ascii="Arial" w:hAnsi="Arial" w:cs="Arial"/>
          <w:bCs/>
          <w:iCs/>
        </w:rPr>
        <w:t>artigos 106 e 107 da Lei n° 14.133, de 2021</w:t>
      </w:r>
      <w:r>
        <w:fldChar w:fldCharType="end"/>
      </w:r>
      <w:r w:rsidRPr="000C2AA7">
        <w:rPr>
          <w:rFonts w:ascii="Arial" w:hAnsi="Arial" w:cs="Arial"/>
          <w:bCs/>
          <w:iCs/>
        </w:rPr>
        <w:t>.</w:t>
      </w:r>
    </w:p>
    <w:p w14:paraId="42385670" w14:textId="0658CE8C" w:rsidR="007E7BBF"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0C2AA7">
        <w:rPr>
          <w:rFonts w:ascii="Arial" w:hAnsi="Arial" w:cs="Arial"/>
          <w:bCs/>
          <w:iCs/>
        </w:rPr>
        <w:t>, atentando, ainda, para o cumprimento dos seguintes requisitos:</w:t>
      </w:r>
    </w:p>
    <w:p w14:paraId="3CDD9C7C"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Estar formalmente demonstrado no processo que a forma de prestação dos serviços tem natureza continuada;</w:t>
      </w:r>
    </w:p>
    <w:p w14:paraId="1CC92467"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Seja juntada justificativa e motivo, por escrito, de que a Administração mantém interesse na realização do serviço;  </w:t>
      </w:r>
    </w:p>
    <w:p w14:paraId="1BDFC839"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 xml:space="preserve">Haja manifestação expressa do contratado informando o interesse na prorrogação; </w:t>
      </w:r>
    </w:p>
    <w:p w14:paraId="7310E3C8" w14:textId="77777777" w:rsidR="007E7BBF" w:rsidRPr="000C2AA7" w:rsidRDefault="007E7BBF"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0C2AA7">
        <w:rPr>
          <w:rFonts w:ascii="Arial" w:hAnsi="Arial" w:cs="Arial"/>
          <w:bCs/>
          <w:iCs/>
        </w:rPr>
        <w:t>Seja comprovado que o contratado mantém as condições iniciais de habilitação.</w:t>
      </w:r>
    </w:p>
    <w:p w14:paraId="27B1858E" w14:textId="26310923"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O contratado não tem direito subjetivo à prorrogação contratual.</w:t>
      </w:r>
    </w:p>
    <w:p w14:paraId="605D55A7" w14:textId="7CE278B1"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A prorrogação de contrato deverá ser promovida mediante celebração de termo aditivo.</w:t>
      </w:r>
    </w:p>
    <w:p w14:paraId="76BC33BE" w14:textId="77777777" w:rsidR="007E7BBF" w:rsidRPr="000C2AA7" w:rsidRDefault="007E7BBF" w:rsidP="00807004">
      <w:pPr>
        <w:pStyle w:val="Nvel2-Red"/>
        <w:numPr>
          <w:ilvl w:val="1"/>
          <w:numId w:val="2"/>
        </w:numPr>
        <w:rPr>
          <w:rFonts w:eastAsia="Verdana"/>
          <w:bCs/>
          <w:i w:val="0"/>
          <w:color w:val="auto"/>
          <w:sz w:val="22"/>
          <w:szCs w:val="22"/>
          <w:lang w:val="pt-PT" w:eastAsia="en-US"/>
        </w:rPr>
      </w:pPr>
      <w:r w:rsidRPr="000C2AA7">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0C2AA7"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C2AA7">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B0084D"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208DA8CE" w:rsidR="007B0D84" w:rsidRPr="000E5201" w:rsidRDefault="00DC50A5" w:rsidP="000E5201">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0E5201">
        <w:rPr>
          <w:rFonts w:ascii="Arial" w:hAnsi="Arial" w:cs="Arial"/>
          <w:bCs/>
          <w:iCs/>
          <w:u w:val="single"/>
        </w:rPr>
        <w:t>MODELO DE EXECUÇÃO DO OBJETO (arts. 6º, XXIII, alínea “e” e 40, §1º, inciso II, da Lei nº 14.133/2021):</w:t>
      </w:r>
    </w:p>
    <w:p w14:paraId="2A24BA9A" w14:textId="02B7253E" w:rsidR="000E5201" w:rsidRPr="000E5201" w:rsidRDefault="000E5201" w:rsidP="000E5201">
      <w:pPr>
        <w:pStyle w:val="PargrafodaLista"/>
        <w:numPr>
          <w:ilvl w:val="2"/>
          <w:numId w:val="2"/>
        </w:numPr>
        <w:spacing w:before="280" w:after="120" w:line="360" w:lineRule="auto"/>
        <w:ind w:left="0" w:firstLine="0"/>
        <w:jc w:val="both"/>
        <w:rPr>
          <w:rFonts w:ascii="Arial" w:hAnsi="Arial" w:cs="Arial"/>
          <w:bCs/>
          <w:iCs/>
        </w:rPr>
      </w:pPr>
      <w:r w:rsidRPr="000E5201">
        <w:rPr>
          <w:rFonts w:ascii="Arial" w:hAnsi="Arial" w:cs="Arial"/>
          <w:bCs/>
          <w:iCs/>
        </w:rPr>
        <w:t>O prazo de execução dos serviços será de 1 (um) ano, contados da data de publicação do extrato da Ata de Registro de Preços.</w:t>
      </w:r>
    </w:p>
    <w:p w14:paraId="5E1778AA" w14:textId="70EA9A35" w:rsidR="000E5201" w:rsidRPr="000E5201" w:rsidRDefault="000E5201" w:rsidP="000E5201">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 xml:space="preserve">A prestação do serviço acontecerá dentro do território de Nova Friburgo contemplando </w:t>
      </w:r>
      <w:r w:rsidRPr="000E5201">
        <w:rPr>
          <w:rFonts w:ascii="Arial" w:hAnsi="Arial" w:cs="Arial"/>
          <w:bCs/>
          <w:iCs/>
        </w:rPr>
        <w:lastRenderedPageBreak/>
        <w:t>os 08 distritos e será informado no momento da solicitação do serviço.</w:t>
      </w:r>
    </w:p>
    <w:p w14:paraId="457CFFFA" w14:textId="28AFF5DB" w:rsidR="000E5201" w:rsidRPr="000E5201" w:rsidRDefault="000E5201" w:rsidP="00496A72">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A empresa vencedora do certame deverá estar ciente que deverá ter condições de atender aos serviços em um prazo máximo de 72h, após a solicitação da secretaria solicitante;</w:t>
      </w:r>
    </w:p>
    <w:p w14:paraId="6774FB13" w14:textId="490F45B2" w:rsidR="000E5201" w:rsidRPr="000E5201" w:rsidRDefault="000E5201" w:rsidP="00496A72">
      <w:pPr>
        <w:pStyle w:val="PargrafodaLista"/>
        <w:numPr>
          <w:ilvl w:val="2"/>
          <w:numId w:val="2"/>
        </w:numPr>
        <w:spacing w:after="120" w:line="360" w:lineRule="auto"/>
        <w:ind w:left="0" w:firstLine="0"/>
        <w:jc w:val="both"/>
        <w:rPr>
          <w:rFonts w:ascii="Arial" w:hAnsi="Arial" w:cs="Arial"/>
          <w:bCs/>
          <w:iCs/>
        </w:rPr>
      </w:pPr>
      <w:r w:rsidRPr="000E5201">
        <w:rPr>
          <w:rFonts w:ascii="Arial" w:hAnsi="Arial" w:cs="Arial"/>
          <w:bCs/>
          <w:iCs/>
        </w:rPr>
        <w:t>As necessidades inerentes a cada lote estão descritas no item 4 deste Termo de Referência.</w:t>
      </w:r>
    </w:p>
    <w:p w14:paraId="0DD0FF44" w14:textId="50D36110" w:rsidR="000E5201" w:rsidRPr="00496A72" w:rsidRDefault="000E5201" w:rsidP="00496A72">
      <w:pPr>
        <w:pStyle w:val="PargrafodaLista"/>
        <w:numPr>
          <w:ilvl w:val="2"/>
          <w:numId w:val="2"/>
        </w:numPr>
        <w:spacing w:after="120" w:line="360" w:lineRule="auto"/>
        <w:ind w:left="0" w:firstLine="0"/>
        <w:jc w:val="both"/>
        <w:rPr>
          <w:rFonts w:ascii="Arial" w:hAnsi="Arial" w:cs="Arial"/>
          <w:bCs/>
          <w:iCs/>
        </w:rPr>
      </w:pPr>
      <w:r w:rsidRPr="00496A72">
        <w:rPr>
          <w:rFonts w:ascii="Arial" w:hAnsi="Arial" w:cs="Arial"/>
          <w:bCs/>
          <w:iCs/>
        </w:rPr>
        <w:t>Do Recebimento:</w:t>
      </w:r>
    </w:p>
    <w:p w14:paraId="4A905AEA" w14:textId="77777777" w:rsidR="000E5201" w:rsidRDefault="000E5201" w:rsidP="00496A72">
      <w:pPr>
        <w:pStyle w:val="PargrafodaLista"/>
        <w:numPr>
          <w:ilvl w:val="3"/>
          <w:numId w:val="2"/>
        </w:numPr>
        <w:spacing w:after="120" w:line="360" w:lineRule="auto"/>
        <w:ind w:left="0" w:firstLine="0"/>
        <w:jc w:val="both"/>
        <w:rPr>
          <w:rFonts w:ascii="Arial" w:hAnsi="Arial" w:cs="Arial"/>
          <w:bCs/>
          <w:iCs/>
        </w:rPr>
      </w:pPr>
      <w:r w:rsidRPr="000E5201">
        <w:rPr>
          <w:rFonts w:ascii="Arial" w:hAnsi="Arial" w:cs="Arial"/>
          <w:bCs/>
          <w:iCs/>
        </w:rPr>
        <w:t>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r w:rsidRPr="000E5201">
        <w:rPr>
          <w:rFonts w:ascii="Arial" w:hAnsi="Arial" w:cs="Arial"/>
          <w:bCs/>
          <w:iCs/>
        </w:rPr>
        <w:br/>
      </w:r>
      <w:r>
        <w:rPr>
          <w:rFonts w:ascii="Arial" w:hAnsi="Arial" w:cs="Arial"/>
          <w:bCs/>
          <w:iCs/>
        </w:rPr>
        <w:t xml:space="preserve">3.1.5.2 </w:t>
      </w:r>
      <w:r w:rsidRPr="000E5201">
        <w:rPr>
          <w:rFonts w:ascii="Arial" w:hAnsi="Arial" w:cs="Arial"/>
          <w:bCs/>
          <w:iCs/>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r w:rsidRPr="000E5201">
        <w:rPr>
          <w:rFonts w:ascii="Arial" w:hAnsi="Arial" w:cs="Arial"/>
          <w:bCs/>
          <w:iCs/>
        </w:rPr>
        <w:br/>
      </w:r>
      <w:r>
        <w:rPr>
          <w:rFonts w:ascii="Arial" w:hAnsi="Arial" w:cs="Arial"/>
          <w:bCs/>
          <w:iCs/>
        </w:rPr>
        <w:t>3.1.5.3</w:t>
      </w:r>
      <w:r w:rsidRPr="000E5201">
        <w:rPr>
          <w:rFonts w:ascii="Arial" w:hAnsi="Arial" w:cs="Arial"/>
          <w:bCs/>
          <w:iCs/>
        </w:rPr>
        <w:t xml:space="preserve">  Emitir Termo Circunstanciado para efeito de recebimento definitivo dos serviços prestados, com base nos relatórios e documentações apresentadas; e</w:t>
      </w:r>
      <w:r w:rsidRPr="000E5201">
        <w:rPr>
          <w:rFonts w:ascii="Arial" w:hAnsi="Arial" w:cs="Arial"/>
          <w:bCs/>
          <w:iCs/>
        </w:rPr>
        <w:br/>
      </w:r>
      <w:r>
        <w:rPr>
          <w:rFonts w:ascii="Arial" w:hAnsi="Arial" w:cs="Arial"/>
          <w:bCs/>
          <w:iCs/>
        </w:rPr>
        <w:t>3.1.5.4</w:t>
      </w:r>
      <w:r w:rsidRPr="000E5201">
        <w:rPr>
          <w:rFonts w:ascii="Arial" w:hAnsi="Arial" w:cs="Arial"/>
          <w:bCs/>
          <w:iCs/>
        </w:rPr>
        <w:t xml:space="preserve"> Comunicar a empresa para que emita a Nota Fiscal ou Fatura, com o valor exato dimensionado pela fiscalização.</w:t>
      </w:r>
    </w:p>
    <w:p w14:paraId="25DD94BE" w14:textId="0D30A015" w:rsidR="000E5201" w:rsidRDefault="00496A72" w:rsidP="00496A72">
      <w:pPr>
        <w:pStyle w:val="PargrafodaLista"/>
        <w:spacing w:after="120" w:line="360" w:lineRule="auto"/>
        <w:ind w:left="0"/>
        <w:jc w:val="both"/>
        <w:rPr>
          <w:rFonts w:ascii="Arial" w:hAnsi="Arial" w:cs="Arial"/>
          <w:bCs/>
          <w:iCs/>
        </w:rPr>
      </w:pPr>
      <w:r>
        <w:rPr>
          <w:rFonts w:ascii="Arial" w:hAnsi="Arial" w:cs="Arial"/>
          <w:bCs/>
          <w:iCs/>
        </w:rPr>
        <w:t>3.1.5.5</w:t>
      </w:r>
      <w:r w:rsidR="000E5201" w:rsidRPr="000E5201">
        <w:rPr>
          <w:rFonts w:ascii="Arial" w:hAnsi="Arial" w:cs="Arial"/>
          <w:bCs/>
          <w:iCs/>
        </w:rPr>
        <w:t xml:space="preserve"> O recebimento provisório ou definitivo não excluirá a responsabilidade civil pela solidez e pela segurança do serviço nem a responsabilidade ético-profissional pela perfeita execução do contrato.</w:t>
      </w:r>
    </w:p>
    <w:p w14:paraId="6850E648" w14:textId="31114C84" w:rsidR="00496A72" w:rsidRPr="00496A72" w:rsidRDefault="00496A72" w:rsidP="00496A72">
      <w:pPr>
        <w:pStyle w:val="PargrafodaLista"/>
        <w:spacing w:after="120" w:line="360" w:lineRule="auto"/>
        <w:ind w:left="0"/>
        <w:jc w:val="both"/>
        <w:rPr>
          <w:rFonts w:ascii="Arial" w:hAnsi="Arial" w:cs="Arial"/>
          <w:bCs/>
          <w:iCs/>
          <w:u w:val="single"/>
        </w:rPr>
      </w:pPr>
      <w:r w:rsidRPr="00496A72">
        <w:rPr>
          <w:rFonts w:ascii="Arial" w:hAnsi="Arial" w:cs="Arial"/>
          <w:bCs/>
          <w:iCs/>
          <w:u w:val="single"/>
        </w:rPr>
        <w:t>3.2 MODELO DE GESTÃO DO CONTRATO (art. 6º, XXIII, alínea “f”, da Lei nº 14.133/21):</w:t>
      </w:r>
    </w:p>
    <w:p w14:paraId="5171479D" w14:textId="6C0A9D6C"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 O contrato deverá ser executado fielmente pelas partes, de acordo com as cláusulas avençadas e as normas da Lei nº 14.133, de 2021, e cada parte responderá pelas consequências de sua inexecução total ou parcial (Lei nº 14.133/2021, art. 115, caput).</w:t>
      </w:r>
    </w:p>
    <w:p w14:paraId="01D53BD7" w14:textId="0D81F17B"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3.2.2 Em caso de impedimento, ordem de paralisação ou suspensão do contrato, o cronograma de execução será prorrogado automaticamente pelo tempo correspondente, anotadas tais circunstâncias mediante simples apostila (Lei nº 14.133/2021, art. 115, §5º).</w:t>
      </w:r>
    </w:p>
    <w:p w14:paraId="6C65467F" w14:textId="4CC82FD4"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3.2.3 A execução do contrato deverá ser acompanhada e fiscalizada pelo(s) fiscal(is) do contrato, ou pelos respectivos substitutos (Lei nº 14.133/2021, art. 117, caput).</w:t>
      </w:r>
    </w:p>
    <w:p w14:paraId="044E7A77" w14:textId="3B54DC77" w:rsidR="00496A72" w:rsidRPr="00496A72" w:rsidRDefault="00496A72" w:rsidP="00496A72">
      <w:pPr>
        <w:pBdr>
          <w:top w:val="none" w:sz="0" w:space="0" w:color="1F497D"/>
        </w:pBdr>
        <w:tabs>
          <w:tab w:val="left" w:pos="360"/>
          <w:tab w:val="left" w:pos="450"/>
        </w:tabs>
        <w:spacing w:after="120" w:line="360" w:lineRule="auto"/>
        <w:jc w:val="both"/>
        <w:rPr>
          <w:rFonts w:ascii="Arial" w:hAnsi="Arial" w:cs="Arial"/>
          <w:bCs/>
          <w:iCs/>
        </w:rPr>
      </w:pPr>
      <w:r w:rsidRPr="00496A72">
        <w:rPr>
          <w:rFonts w:ascii="Arial" w:hAnsi="Arial" w:cs="Arial"/>
          <w:bCs/>
          <w:iCs/>
        </w:rPr>
        <w:t xml:space="preserve">3.2.4 O fiscal do contrato anotará em registro próprio todas as ocorrências relacionadas à execução do contrato, determinando o que for necessário para a regularização das faltas ou </w:t>
      </w:r>
      <w:r w:rsidRPr="00496A72">
        <w:rPr>
          <w:rFonts w:ascii="Arial" w:hAnsi="Arial" w:cs="Arial"/>
          <w:bCs/>
          <w:iCs/>
        </w:rPr>
        <w:lastRenderedPageBreak/>
        <w:t>dos defeitos observados (Lei nº 14.133/2021, art. 117, §1º).</w:t>
      </w:r>
    </w:p>
    <w:p w14:paraId="51BCE93E" w14:textId="7411A2CD" w:rsidR="00496A72" w:rsidRPr="00496A72" w:rsidRDefault="00496A72" w:rsidP="00496A72">
      <w:pPr>
        <w:tabs>
          <w:tab w:val="left" w:pos="360"/>
          <w:tab w:val="left" w:pos="450"/>
        </w:tabs>
        <w:spacing w:after="120" w:line="360" w:lineRule="auto"/>
        <w:jc w:val="both"/>
        <w:rPr>
          <w:rFonts w:ascii="Arial" w:hAnsi="Arial" w:cs="Arial"/>
          <w:bCs/>
          <w:iCs/>
        </w:rPr>
      </w:pPr>
      <w:r w:rsidRPr="00496A72">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574CCA56" w14:textId="07F868B8"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37FB24C7" w14:textId="3BDA541F"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8BEB079" w14:textId="02431E21"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3.2.8 Somente o contratado será responsável pelos encargos trabalhistas, previdenciários, fiscais e comerciais resultantes da execução do contrato (Lei nº 14.133/2021, art. 121, caput).</w:t>
      </w:r>
    </w:p>
    <w:p w14:paraId="0684E50E" w14:textId="6BE209F8" w:rsidR="00496A72" w:rsidRPr="00496A72" w:rsidRDefault="00496A72" w:rsidP="00496A72">
      <w:pPr>
        <w:tabs>
          <w:tab w:val="left" w:pos="360"/>
        </w:tabs>
        <w:spacing w:after="120" w:line="360" w:lineRule="auto"/>
        <w:jc w:val="both"/>
        <w:rPr>
          <w:rFonts w:ascii="Arial" w:hAnsi="Arial" w:cs="Arial"/>
          <w:bCs/>
          <w:iCs/>
        </w:rPr>
      </w:pPr>
      <w:r w:rsidRPr="00496A72">
        <w:rPr>
          <w:rFonts w:ascii="Arial" w:hAnsi="Arial" w:cs="Arial"/>
          <w:bCs/>
          <w:iCs/>
        </w:rPr>
        <w:t>3.2.9 A inadimplência do contratado em relação aos encargos trabalhistas, fiscais e comerciais não transferirá à Administração a responsabilidade pelo seu pagamento e não poderá onerar o objeto do contrato (Lei nº 14.133/2021, art. 121, §1º).</w:t>
      </w:r>
    </w:p>
    <w:p w14:paraId="33540E6C" w14:textId="29896453"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3.2.10 As comunicações entre o órgão ou entidade e a contratada devem ser realizadas por escrito sempre que o ato exigir tal formalidade, admitindo-se, excepcionalmente, o uso de mensagem eletrônica para esse fim.</w:t>
      </w:r>
    </w:p>
    <w:p w14:paraId="3ABA11E3" w14:textId="4866C6BF"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3.2.11 O órgão ou entidade poderá convocar representante da empresa para adoção de providências que devam ser cumpridas de imediato.</w:t>
      </w:r>
    </w:p>
    <w:p w14:paraId="0F4D0457" w14:textId="6AD760BE"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18AC2D0A" w14:textId="0236D788"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 14.133/21.</w:t>
      </w:r>
    </w:p>
    <w:p w14:paraId="20488B49" w14:textId="7A500E81" w:rsidR="00496A72" w:rsidRPr="00496A72" w:rsidRDefault="00496A72" w:rsidP="00496A72">
      <w:pPr>
        <w:spacing w:after="120" w:line="360" w:lineRule="auto"/>
        <w:jc w:val="both"/>
        <w:rPr>
          <w:rFonts w:ascii="Arial" w:hAnsi="Arial" w:cs="Arial"/>
          <w:bCs/>
          <w:iCs/>
        </w:rPr>
      </w:pPr>
      <w:r w:rsidRPr="00496A72">
        <w:rPr>
          <w:rFonts w:ascii="Arial" w:hAnsi="Arial" w:cs="Arial"/>
          <w:bCs/>
          <w:iCs/>
        </w:rPr>
        <w:t xml:space="preserve">3.2.14 Para o acompanhamento, gestão e fiscalização da execução do presente contrato, serão designados em momento posterior, antes da execução do objeto, agentes públicos </w:t>
      </w:r>
      <w:r w:rsidRPr="00496A72">
        <w:rPr>
          <w:rFonts w:ascii="Arial" w:hAnsi="Arial" w:cs="Arial"/>
          <w:bCs/>
          <w:iCs/>
        </w:rPr>
        <w:lastRenderedPageBreak/>
        <w:t xml:space="preserve">gestor/gestor substituto e fiscal/ fiscal substituto. </w:t>
      </w:r>
    </w:p>
    <w:p w14:paraId="1A144145" w14:textId="2E97FA00"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3.2.15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618AE10" w14:textId="5FF77CBE"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3.2.16 O(s) fiscal(is) designado pela Contratante deverá ter a experiência necessária para o acompanhamento e controle da execução dos serviços e do contrato;</w:t>
      </w:r>
    </w:p>
    <w:p w14:paraId="4BDA65EB" w14:textId="7FB9FE6C"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3.2.17 A verificação da adequação da prestação do serviço deverá ser realizada com base nos critérios previstos neste Termo de Referência;</w:t>
      </w:r>
    </w:p>
    <w:p w14:paraId="1484B480" w14:textId="5212440B" w:rsidR="00496A72" w:rsidRPr="00496A72" w:rsidRDefault="00496A72" w:rsidP="00496A72">
      <w:pPr>
        <w:spacing w:after="120" w:line="360" w:lineRule="auto"/>
        <w:jc w:val="both"/>
        <w:rPr>
          <w:rFonts w:ascii="Arial" w:hAnsi="Arial" w:cs="Arial"/>
          <w:bCs/>
          <w:iCs/>
        </w:rPr>
      </w:pPr>
      <w:r w:rsidRPr="00496A72">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52FEB73" w14:textId="77777777" w:rsidR="00DC50A5" w:rsidRPr="009872FB" w:rsidRDefault="00DC50A5"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D91DE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O valor total da contratação é de R$.......... (.....)</w:t>
      </w:r>
    </w:p>
    <w:p w14:paraId="19E0CAC1" w14:textId="3066B963" w:rsidR="001D32DF" w:rsidRPr="00D91DE6"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D91DE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91DE6">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807004">
      <w:pPr>
        <w:pStyle w:val="PargrafodaLista"/>
        <w:numPr>
          <w:ilvl w:val="0"/>
          <w:numId w:val="2"/>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7E203DCA" w14:textId="4AA92297" w:rsidR="00505CF1" w:rsidRPr="007611CE" w:rsidRDefault="00505CF1" w:rsidP="007611CE">
      <w:pPr>
        <w:pStyle w:val="PargrafodaLista"/>
        <w:numPr>
          <w:ilvl w:val="1"/>
          <w:numId w:val="2"/>
        </w:numPr>
        <w:shd w:val="clear" w:color="auto" w:fill="FFFFFF"/>
        <w:spacing w:before="120" w:after="120" w:line="360" w:lineRule="auto"/>
        <w:ind w:left="0" w:firstLine="0"/>
        <w:jc w:val="both"/>
        <w:rPr>
          <w:rFonts w:ascii="Arial" w:hAnsi="Arial" w:cs="Arial"/>
          <w:bCs/>
          <w:iCs/>
        </w:rPr>
      </w:pPr>
      <w:r w:rsidRPr="007611CE">
        <w:rPr>
          <w:rFonts w:ascii="Arial" w:hAnsi="Arial" w:cs="Arial"/>
          <w:bCs/>
          <w:iCs/>
        </w:rPr>
        <w:t xml:space="preserve">As Notas Fiscais deverão ser emitidas em nome de: </w:t>
      </w:r>
      <w:r w:rsidRPr="007611CE">
        <w:rPr>
          <w:rFonts w:ascii="Arial" w:hAnsi="Arial" w:cs="Arial"/>
          <w:b/>
          <w:iCs/>
        </w:rPr>
        <w:t>Município de Nova Friburgo, CNPJ: 28.606.630/0001-23, ENDEREÇO: Avenida Alberto Braune, 225, centro, Nova Friburgo-RJ, CEP: 28613-001</w:t>
      </w:r>
      <w:r w:rsidRPr="007611CE">
        <w:rPr>
          <w:rFonts w:ascii="Arial" w:hAnsi="Arial" w:cs="Arial"/>
          <w:bCs/>
          <w:iCs/>
        </w:rPr>
        <w:t>.</w:t>
      </w:r>
    </w:p>
    <w:p w14:paraId="35EF6A2A" w14:textId="23EE8E46" w:rsidR="00505CF1" w:rsidRPr="007611CE" w:rsidRDefault="00505CF1" w:rsidP="007611CE">
      <w:pPr>
        <w:pStyle w:val="PargrafodaLista"/>
        <w:numPr>
          <w:ilvl w:val="1"/>
          <w:numId w:val="2"/>
        </w:numPr>
        <w:shd w:val="clear" w:color="auto" w:fill="FFFFFF"/>
        <w:spacing w:before="120" w:after="120" w:line="360" w:lineRule="auto"/>
        <w:ind w:left="0" w:firstLine="0"/>
        <w:jc w:val="both"/>
        <w:rPr>
          <w:rFonts w:ascii="Arial" w:hAnsi="Arial" w:cs="Arial"/>
          <w:bCs/>
          <w:iCs/>
          <w:u w:val="single"/>
        </w:rPr>
      </w:pPr>
      <w:r w:rsidRPr="007611CE">
        <w:rPr>
          <w:rFonts w:ascii="Arial" w:hAnsi="Arial" w:cs="Arial"/>
          <w:bCs/>
          <w:iCs/>
          <w:u w:val="single"/>
        </w:rPr>
        <w:t>Da liquidação da despesa:</w:t>
      </w:r>
    </w:p>
    <w:p w14:paraId="3CC8A9CB" w14:textId="394E9DBB"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 xml:space="preserve">A liquidação será realizada pela Secretaria Municipal de Fazenda, a partir do cumprimento das obrigações elencadas neste Termo de Referência, em obediência ao </w:t>
      </w:r>
      <w:r w:rsidRPr="007611CE">
        <w:rPr>
          <w:rFonts w:ascii="Arial" w:hAnsi="Arial" w:cs="Arial"/>
          <w:bCs/>
          <w:iCs/>
        </w:rPr>
        <w:lastRenderedPageBreak/>
        <w:t>Decreto nº 2493, de 07 de novembro de 2023, https://pmnf.rj.gov.br/paginas-centralizadas/9_64_Legislacoes.html.</w:t>
      </w:r>
    </w:p>
    <w:p w14:paraId="7926B718" w14:textId="12912B13" w:rsidR="00505CF1" w:rsidRPr="007611CE" w:rsidRDefault="00505CF1" w:rsidP="007611CE">
      <w:pPr>
        <w:pStyle w:val="PargrafodaLista"/>
        <w:numPr>
          <w:ilvl w:val="2"/>
          <w:numId w:val="2"/>
        </w:numPr>
        <w:shd w:val="clear" w:color="auto" w:fill="FFFFFF"/>
        <w:spacing w:before="120" w:after="120" w:line="360" w:lineRule="auto"/>
        <w:ind w:left="0" w:firstLine="0"/>
        <w:jc w:val="both"/>
        <w:rPr>
          <w:rFonts w:ascii="Arial" w:hAnsi="Arial" w:cs="Arial"/>
          <w:bCs/>
          <w:iCs/>
        </w:rPr>
      </w:pPr>
      <w:r w:rsidRPr="007611CE">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5D4B1891" w14:textId="1262EEFC" w:rsidR="00505CF1" w:rsidRPr="007611CE" w:rsidRDefault="00505CF1" w:rsidP="007611CE">
      <w:pPr>
        <w:pStyle w:val="PargrafodaLista"/>
        <w:numPr>
          <w:ilvl w:val="1"/>
          <w:numId w:val="2"/>
        </w:numPr>
        <w:spacing w:before="120" w:after="120" w:line="360" w:lineRule="auto"/>
        <w:ind w:left="0" w:firstLine="0"/>
        <w:jc w:val="both"/>
        <w:rPr>
          <w:rFonts w:ascii="Arial" w:hAnsi="Arial" w:cs="Arial"/>
          <w:bCs/>
          <w:iCs/>
          <w:u w:val="single"/>
        </w:rPr>
      </w:pPr>
      <w:r w:rsidRPr="007611CE">
        <w:rPr>
          <w:rFonts w:ascii="Arial" w:hAnsi="Arial" w:cs="Arial"/>
          <w:bCs/>
          <w:iCs/>
          <w:u w:val="single"/>
        </w:rPr>
        <w:t>Do pagamento da despesa:</w:t>
      </w:r>
    </w:p>
    <w:p w14:paraId="24FA4E77" w14:textId="058C4936"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O pagamento será efetuado conforme estabelecido no Decreto Municipal nº 2493, de 07 de novembro de 2023, desde que as certidões listadas abaixo estejam dentro da validade:</w:t>
      </w:r>
    </w:p>
    <w:p w14:paraId="70D637CF"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Negativa de Débitos Trabalhistas; </w:t>
      </w:r>
    </w:p>
    <w:p w14:paraId="17C369C8"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Fazenda Federal – abrange as contribuições sociais; </w:t>
      </w:r>
    </w:p>
    <w:p w14:paraId="1696CC4A"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FGTS; </w:t>
      </w:r>
    </w:p>
    <w:p w14:paraId="12B3C0BF"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PGE – referente à Dívida Ativa Estadual; </w:t>
      </w:r>
    </w:p>
    <w:p w14:paraId="783D7AA7" w14:textId="77777777" w:rsidR="007611CE"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 xml:space="preserve">Municipal – referente ao ISS e Dívida Ativa; </w:t>
      </w:r>
    </w:p>
    <w:p w14:paraId="31A0F244" w14:textId="6AF79A43" w:rsidR="00505CF1" w:rsidRPr="007611CE" w:rsidRDefault="007611CE" w:rsidP="007611CE">
      <w:pPr>
        <w:spacing w:before="120" w:after="120" w:line="360" w:lineRule="auto"/>
        <w:jc w:val="both"/>
        <w:rPr>
          <w:rFonts w:ascii="Arial" w:hAnsi="Arial" w:cs="Arial"/>
          <w:bCs/>
          <w:iCs/>
        </w:rPr>
      </w:pPr>
      <w:r w:rsidRPr="007611CE">
        <w:rPr>
          <w:rFonts w:ascii="Arial" w:hAnsi="Arial" w:cs="Arial"/>
          <w:bCs/>
          <w:iCs/>
        </w:rPr>
        <w:t xml:space="preserve">- </w:t>
      </w:r>
      <w:r w:rsidR="00505CF1" w:rsidRPr="007611CE">
        <w:rPr>
          <w:rFonts w:ascii="Arial" w:hAnsi="Arial" w:cs="Arial"/>
          <w:bCs/>
          <w:iCs/>
        </w:rPr>
        <w:t>Estadual CND – referente ao ICMS.</w:t>
      </w:r>
    </w:p>
    <w:p w14:paraId="067AD5AD" w14:textId="7A5A6670"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A Nota Fiscal deverá conter a identificação do Banco, número da Agência e da Conta Corrente, para que possibilite o CONTRATANTE efetuar o pagamento do valor devido;</w:t>
      </w:r>
    </w:p>
    <w:p w14:paraId="3163FF74" w14:textId="126DBCFF"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Na ocorrência de rejeição da(s) Nota(s) Fiscal (s), motivada por erro ou incorreções, o prazo para pagamento estipulado acima passará a ser contado a partir da data de sua reapresentação.</w:t>
      </w:r>
    </w:p>
    <w:p w14:paraId="644BC20E" w14:textId="6E388E75"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96086C6" w14:textId="2C12E8F5" w:rsidR="00505CF1" w:rsidRPr="007611CE" w:rsidRDefault="00505CF1" w:rsidP="007611CE">
      <w:pPr>
        <w:pStyle w:val="PargrafodaLista"/>
        <w:numPr>
          <w:ilvl w:val="2"/>
          <w:numId w:val="2"/>
        </w:numPr>
        <w:spacing w:before="120" w:after="120" w:line="360" w:lineRule="auto"/>
        <w:ind w:left="0" w:firstLine="0"/>
        <w:jc w:val="both"/>
        <w:rPr>
          <w:rFonts w:ascii="Arial" w:hAnsi="Arial" w:cs="Arial"/>
          <w:bCs/>
          <w:iCs/>
        </w:rPr>
      </w:pPr>
      <w:r w:rsidRPr="007611CE">
        <w:rPr>
          <w:rFonts w:ascii="Arial" w:hAnsi="Arial" w:cs="Arial"/>
          <w:bCs/>
          <w:iCs/>
        </w:rPr>
        <w:t xml:space="preserve">O pagamento será efetuado pelo Município de Nova Friburgo mediante crédito em conta-corrente da contratada, até o 30º (trigésimo) dia corrido, a contar da atestação da Nota Fiscal apresentada pela contratada, desde que cumpridas as formalidades legais e contratuais </w:t>
      </w:r>
      <w:r w:rsidRPr="007611CE">
        <w:rPr>
          <w:rFonts w:ascii="Arial" w:hAnsi="Arial" w:cs="Arial"/>
          <w:bCs/>
          <w:iCs/>
        </w:rPr>
        <w:lastRenderedPageBreak/>
        <w:t>previstas, e de acordo com o Decreto Municipal nº 2493, de 07 de novembro de 2023.</w:t>
      </w:r>
    </w:p>
    <w:p w14:paraId="4357BEEB" w14:textId="47F4798C" w:rsidR="00BE4E9F" w:rsidRPr="007611CE"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7611CE"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7611CE">
        <w:rPr>
          <w:rFonts w:ascii="Arial" w:eastAsiaTheme="majorEastAsia" w:hAnsi="Arial" w:cs="Arial"/>
          <w:b/>
          <w:bCs/>
          <w:lang w:val="pt-BR" w:eastAsia="pt-BR"/>
        </w:rPr>
        <w:t>CLÁUSULA SÉTIMA - REAJUSTE (art. 92, V)</w:t>
      </w:r>
    </w:p>
    <w:p w14:paraId="6348F2F6" w14:textId="77777777" w:rsidR="0097688D" w:rsidRPr="007611CE"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611CE">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7611CE">
        <w:rPr>
          <w:rFonts w:ascii="Arial" w:hAnsi="Arial" w:cs="Arial"/>
          <w:bCs/>
          <w:iCs/>
        </w:rPr>
        <w:t xml:space="preserve">Após o interregno de um ano, e independentemente de pedido do contratado, os preços iniciais serão reajustados, mediante a aplicação, pelo contratante, </w:t>
      </w:r>
      <w:r w:rsidRPr="007611CE">
        <w:rPr>
          <w:rFonts w:ascii="Arial" w:hAnsi="Arial" w:cs="Arial"/>
          <w:bCs/>
          <w:iCs/>
          <w:lang w:val="pt-BR"/>
        </w:rPr>
        <w:t>do Índice Nacional de Preços ao Consumidor Amplo (IPCA), instituído pelo Instituto Brasileiro de Geografia e Estatística (IBGE)</w:t>
      </w:r>
      <w:r w:rsidRPr="007611CE">
        <w:rPr>
          <w:rFonts w:ascii="Arial" w:hAnsi="Arial" w:cs="Arial"/>
          <w:bCs/>
          <w:iCs/>
        </w:rPr>
        <w:t xml:space="preserve">, exclusivamente para as obrigações iniciadas </w:t>
      </w:r>
      <w:r w:rsidRPr="0097688D">
        <w:rPr>
          <w:rFonts w:ascii="Arial" w:hAnsi="Arial" w:cs="Arial"/>
          <w:bCs/>
          <w:iCs/>
        </w:rPr>
        <w:t>e concluídas após a ocorrência da anualidade.</w:t>
      </w:r>
    </w:p>
    <w:p w14:paraId="2DDE6E5E"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24576018" w14:textId="599F0611" w:rsidR="00A27B94" w:rsidRPr="00874B70"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9"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 xml:space="preserve">Aplicar ao Contratado as sanções previstas na lei e neste Contrato; </w:t>
      </w:r>
    </w:p>
    <w:p w14:paraId="5D9CABDA" w14:textId="670EF7D2" w:rsidR="00A27B94" w:rsidRP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Explicitamente emitir decisão sobre todas as solicitações e reclamações relacionadas à execução do presente Contrato, ressalvados os requerimentos manifestamente impertinentes, </w:t>
      </w:r>
      <w:r w:rsidRPr="007611CE">
        <w:rPr>
          <w:rFonts w:ascii="Arial" w:hAnsi="Arial" w:cs="Arial"/>
          <w:bCs/>
          <w:iCs/>
          <w:lang w:val="pt-BR"/>
        </w:rPr>
        <w:t>meramente protelatórios ou de nenhum interesse para a boa execução do ajuste.</w:t>
      </w:r>
    </w:p>
    <w:p w14:paraId="7BEA1B30" w14:textId="53419478"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 A Administração terá o prazo de </w:t>
      </w:r>
      <w:r w:rsidRPr="007611CE">
        <w:rPr>
          <w:rFonts w:ascii="Arial" w:hAnsi="Arial" w:cs="Arial"/>
          <w:bCs/>
          <w:iCs/>
        </w:rPr>
        <w:t>1 (um) mês</w:t>
      </w:r>
      <w:r w:rsidRPr="007611CE">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7611CE"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Responder eventuais pedidos de reestabelecimento do equilíbrio econômico-financeiro feitos pelo contratado no prazo máximo de </w:t>
      </w:r>
      <w:r w:rsidRPr="007611CE">
        <w:rPr>
          <w:rFonts w:ascii="Arial" w:hAnsi="Arial" w:cs="Arial"/>
          <w:bCs/>
          <w:iCs/>
        </w:rPr>
        <w:t>1 (um) mês</w:t>
      </w:r>
      <w:r w:rsidRPr="007611CE">
        <w:rPr>
          <w:rFonts w:ascii="Arial" w:hAnsi="Arial" w:cs="Arial"/>
          <w:bCs/>
          <w:iCs/>
          <w:lang w:val="pt-BR"/>
        </w:rPr>
        <w:t>.</w:t>
      </w:r>
    </w:p>
    <w:p w14:paraId="15218468" w14:textId="77777777" w:rsidR="00EA6E3C" w:rsidRPr="007611CE" w:rsidRDefault="00EA6E3C"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Comunicar o Contratado na hipótese de posterior alteração do projeto pelo Contratante, no caso </w:t>
      </w:r>
      <w:hyperlink r:id="rId10" w:anchor="art93§2" w:history="1">
        <w:r w:rsidRPr="007611CE">
          <w:rPr>
            <w:rFonts w:ascii="Arial" w:hAnsi="Arial" w:cs="Arial"/>
            <w:bCs/>
            <w:iCs/>
            <w:lang w:val="pt-BR"/>
          </w:rPr>
          <w:t>do art. 93, §2º, da Lei nº 14.133, de 2021</w:t>
        </w:r>
      </w:hyperlink>
      <w:r w:rsidRPr="007611CE">
        <w:rPr>
          <w:rFonts w:ascii="Arial" w:hAnsi="Arial" w:cs="Arial"/>
          <w:bCs/>
          <w:iCs/>
          <w:lang w:val="pt-BR"/>
        </w:rPr>
        <w:t>.</w:t>
      </w:r>
    </w:p>
    <w:p w14:paraId="5080FE7D" w14:textId="0F5CB667"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7611CE">
        <w:rPr>
          <w:rFonts w:ascii="Arial" w:hAnsi="Arial" w:cs="Arial"/>
          <w:bCs/>
          <w:iCs/>
          <w:lang w:val="pt-BR"/>
        </w:rPr>
        <w:t xml:space="preserve">A Administração não responderá por quaisquer </w:t>
      </w:r>
      <w:r w:rsidRPr="00A27B94">
        <w:rPr>
          <w:rFonts w:ascii="Arial" w:hAnsi="Arial" w:cs="Arial"/>
          <w:bCs/>
          <w:iCs/>
          <w:lang w:val="pt-BR"/>
        </w:rPr>
        <w:t>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1"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2"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3"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0E1BA73B" w:rsidR="008743A2"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D473D7">
        <w:rPr>
          <w:rFonts w:ascii="Arial" w:hAnsi="Arial" w:cs="Arial"/>
          <w:bCs/>
          <w:iCs/>
          <w:lang w:val="pt-BR"/>
        </w:rPr>
        <w:t>.</w:t>
      </w:r>
    </w:p>
    <w:p w14:paraId="55EB31B6" w14:textId="77777777" w:rsidR="007611CE" w:rsidRPr="00DC6FCA" w:rsidRDefault="007611CE" w:rsidP="007611CE">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577BD4BC" w14:textId="70F88461" w:rsidR="00E81BCB" w:rsidRPr="009327CB" w:rsidRDefault="00E81BCB" w:rsidP="00807004">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As partes deverão cumprir a </w:t>
      </w:r>
      <w:hyperlink r:id="rId18" w:history="1">
        <w:r w:rsidRPr="007611CE">
          <w:rPr>
            <w:rFonts w:ascii="Arial" w:hAnsi="Arial" w:cs="Arial"/>
            <w:bCs/>
            <w:iCs/>
            <w:lang w:val="pt-BR"/>
          </w:rPr>
          <w:t>Lei nº 13.709, de 14 de agosto de 2018 (LGPD)</w:t>
        </w:r>
      </w:hyperlink>
      <w:r w:rsidRPr="007611CE">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Os dados obtidos somente poderão ser utilizados para as finalidades que justificaram seu acesso e de acordo com a boa-fé e com os princípios do </w:t>
      </w:r>
      <w:hyperlink r:id="rId19" w:anchor="art6" w:history="1">
        <w:r w:rsidRPr="007611CE">
          <w:rPr>
            <w:rFonts w:ascii="Arial" w:hAnsi="Arial" w:cs="Arial"/>
            <w:bCs/>
            <w:iCs/>
            <w:lang w:val="pt-BR"/>
          </w:rPr>
          <w:t>art. 6º da LGPD</w:t>
        </w:r>
      </w:hyperlink>
      <w:r w:rsidRPr="007611CE">
        <w:rPr>
          <w:rFonts w:ascii="Arial" w:hAnsi="Arial" w:cs="Arial"/>
          <w:bCs/>
          <w:iCs/>
          <w:lang w:val="pt-BR"/>
        </w:rPr>
        <w:t xml:space="preserve">. </w:t>
      </w:r>
    </w:p>
    <w:p w14:paraId="1BDEF7CE"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É vedado o compartilhamento com terceiros dos dados obtidos fora das hipóteses permitidas em Lei.</w:t>
      </w:r>
    </w:p>
    <w:p w14:paraId="53D54A5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A Administração deverá ser informada no prazo de 5 (cinco) dias úteis sobre todos os contratos de </w:t>
      </w:r>
      <w:proofErr w:type="spellStart"/>
      <w:r w:rsidRPr="007611CE">
        <w:rPr>
          <w:rFonts w:ascii="Arial" w:hAnsi="Arial" w:cs="Arial"/>
          <w:bCs/>
          <w:iCs/>
          <w:lang w:val="pt-BR"/>
        </w:rPr>
        <w:t>suboperação</w:t>
      </w:r>
      <w:proofErr w:type="spellEnd"/>
      <w:r w:rsidRPr="007611CE">
        <w:rPr>
          <w:rFonts w:ascii="Arial" w:hAnsi="Arial" w:cs="Arial"/>
          <w:bCs/>
          <w:iCs/>
          <w:lang w:val="pt-BR"/>
        </w:rPr>
        <w:t xml:space="preserve"> firmados ou que venham a ser celebrados pelo Contratado. </w:t>
      </w:r>
    </w:p>
    <w:p w14:paraId="3890CCE8"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Terminado o tratamento dos dados nos termos do </w:t>
      </w:r>
      <w:hyperlink r:id="rId20" w:anchor="art15" w:history="1">
        <w:r w:rsidRPr="007611CE">
          <w:rPr>
            <w:rFonts w:ascii="Arial" w:hAnsi="Arial" w:cs="Arial"/>
            <w:bCs/>
            <w:iCs/>
            <w:lang w:val="pt-BR"/>
          </w:rPr>
          <w:t>art. 15 da LGPD</w:t>
        </w:r>
      </w:hyperlink>
      <w:r w:rsidRPr="007611CE">
        <w:rPr>
          <w:rFonts w:ascii="Arial" w:hAnsi="Arial" w:cs="Arial"/>
          <w:bCs/>
          <w:iCs/>
          <w:lang w:val="pt-BR"/>
        </w:rPr>
        <w:t xml:space="preserve">, é dever do contratado eliminá-los, com exceção das hipóteses do </w:t>
      </w:r>
      <w:hyperlink r:id="rId21" w:anchor="art16" w:history="1">
        <w:r w:rsidRPr="007611CE">
          <w:rPr>
            <w:rFonts w:ascii="Arial" w:hAnsi="Arial" w:cs="Arial"/>
            <w:bCs/>
            <w:iCs/>
            <w:lang w:val="pt-BR"/>
          </w:rPr>
          <w:t>art. 16 da LGPD</w:t>
        </w:r>
      </w:hyperlink>
      <w:r w:rsidRPr="007611CE">
        <w:rPr>
          <w:rFonts w:ascii="Arial" w:hAnsi="Arial" w:cs="Arial"/>
          <w:bCs/>
          <w:iCs/>
          <w:lang w:val="pt-BR"/>
        </w:rPr>
        <w:t xml:space="preserve">, incluindo aquelas em </w:t>
      </w:r>
      <w:r w:rsidRPr="007611CE">
        <w:rPr>
          <w:rFonts w:ascii="Arial" w:hAnsi="Arial" w:cs="Arial"/>
          <w:bCs/>
          <w:iCs/>
          <w:lang w:val="pt-BR"/>
        </w:rPr>
        <w:lastRenderedPageBreak/>
        <w:t xml:space="preserve">que houver necessidade de guarda de documentação para fins de comprovação do cumprimento de obrigações legais ou contratuais e somente enquanto não prescritas essas obrigações. </w:t>
      </w:r>
    </w:p>
    <w:p w14:paraId="2611C51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 Contratado deverá exigir de </w:t>
      </w:r>
      <w:proofErr w:type="spellStart"/>
      <w:r w:rsidRPr="007611CE">
        <w:rPr>
          <w:rFonts w:ascii="Arial" w:hAnsi="Arial" w:cs="Arial"/>
          <w:bCs/>
          <w:iCs/>
          <w:lang w:val="pt-BR"/>
        </w:rPr>
        <w:t>suboperadores</w:t>
      </w:r>
      <w:proofErr w:type="spellEnd"/>
      <w:r w:rsidRPr="007611CE">
        <w:rPr>
          <w:rFonts w:ascii="Arial" w:hAnsi="Arial" w:cs="Arial"/>
          <w:bCs/>
          <w:iCs/>
          <w:lang w:val="pt-BR"/>
        </w:rPr>
        <w:t xml:space="preserve"> e subcontratados o cumprimento dos deveres da presente cláusula, permanecendo integralmente responsável por garantir sua observância.</w:t>
      </w:r>
    </w:p>
    <w:p w14:paraId="2C71F641"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7611CE">
          <w:rPr>
            <w:rFonts w:ascii="Arial" w:hAnsi="Arial" w:cs="Arial"/>
            <w:bCs/>
            <w:iCs/>
            <w:lang w:val="pt-BR"/>
          </w:rPr>
          <w:t>LGPD, art. 37</w:t>
        </w:r>
      </w:hyperlink>
      <w:r w:rsidRPr="007611CE">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7611CE" w:rsidRDefault="00E81BCB" w:rsidP="00807004">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7611CE">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7611CE" w:rsidRDefault="00E81BCB"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7611CE">
        <w:rPr>
          <w:rFonts w:ascii="Arial" w:hAnsi="Arial" w:cs="Arial"/>
          <w:bCs/>
          <w:iCs/>
          <w:lang w:val="pt-BR"/>
        </w:rPr>
        <w:t xml:space="preserve">Os contratos e convênios de que trata o </w:t>
      </w:r>
      <w:hyperlink r:id="rId23" w:anchor="art26§1" w:history="1">
        <w:r w:rsidRPr="007611CE">
          <w:rPr>
            <w:rFonts w:ascii="Arial" w:hAnsi="Arial" w:cs="Arial"/>
            <w:bCs/>
            <w:iCs/>
            <w:lang w:val="pt-BR"/>
          </w:rPr>
          <w:t>§ 1º do art. 26 da LGPD</w:t>
        </w:r>
      </w:hyperlink>
      <w:r w:rsidRPr="007611CE">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4"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5"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lastRenderedPageBreak/>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6"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7"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9"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0" w:anchor="art156§9" w:history="1">
        <w:r w:rsidRPr="00E04B75">
          <w:rPr>
            <w:rStyle w:val="Hyperlink"/>
          </w:rPr>
          <w:t>art. 156, §9º, da Lei nº 14.133, de 2021</w:t>
        </w:r>
      </w:hyperlink>
      <w:r w:rsidRPr="00E04B75">
        <w:t>)</w:t>
      </w:r>
    </w:p>
    <w:p w14:paraId="4638A08C"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lastRenderedPageBreak/>
        <w:t>Todas as sanções previstas neste Contrato poderão ser aplicadas cumulativamente com a multa</w:t>
      </w:r>
      <w:r w:rsidRPr="00E04B75">
        <w:t xml:space="preserve"> (</w:t>
      </w:r>
      <w:hyperlink r:id="rId31" w:anchor="art156§7" w:history="1">
        <w:r w:rsidRPr="00E04B75">
          <w:rPr>
            <w:rStyle w:val="Hyperlink"/>
          </w:rPr>
          <w:t>art. 156, §7º, da Lei nº 14.133, de 2021</w:t>
        </w:r>
      </w:hyperlink>
      <w:r w:rsidRPr="00E04B75">
        <w:t>).</w:t>
      </w:r>
    </w:p>
    <w:p w14:paraId="05740197"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2" w:anchor="art157" w:history="1">
        <w:r w:rsidRPr="00E04B75">
          <w:rPr>
            <w:rStyle w:val="Hyperlink"/>
          </w:rPr>
          <w:t>art. 157, da Lei nº 14.133, de 2021</w:t>
        </w:r>
      </w:hyperlink>
      <w:r w:rsidRPr="00E04B75">
        <w:t>)</w:t>
      </w:r>
    </w:p>
    <w:p w14:paraId="4E6DB274" w14:textId="77777777" w:rsidR="00370B10" w:rsidRPr="00E04B75" w:rsidRDefault="00370B10" w:rsidP="00807004">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3" w:anchor="art156§8" w:history="1">
        <w:r w:rsidRPr="00E04B75">
          <w:rPr>
            <w:rStyle w:val="Hyperlink"/>
          </w:rPr>
          <w:t>art. 156, §8º, da Lei nº 14.133, de 2021</w:t>
        </w:r>
      </w:hyperlink>
      <w:r w:rsidRPr="00E04B75">
        <w:t>).</w:t>
      </w:r>
    </w:p>
    <w:p w14:paraId="6163F99C" w14:textId="5D12D559" w:rsidR="00370B10" w:rsidRPr="00DE2273" w:rsidRDefault="00370B10" w:rsidP="00807004">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4"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5"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6"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7"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8" w:history="1">
        <w:r w:rsidRPr="00E04B75">
          <w:rPr>
            <w:rStyle w:val="Hyperlink"/>
          </w:rPr>
          <w:t>art. 159</w:t>
        </w:r>
      </w:hyperlink>
      <w:r w:rsidRPr="00E04B75">
        <w:t>).</w:t>
      </w:r>
    </w:p>
    <w:p w14:paraId="070FC42A"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9" w:anchor="art160" w:history="1">
        <w:r w:rsidRPr="00E04B75">
          <w:rPr>
            <w:rStyle w:val="Hyperlink"/>
          </w:rPr>
          <w:t>art. 160, da Lei nº 14.133, de 2021</w:t>
        </w:r>
      </w:hyperlink>
      <w:r w:rsidRPr="00E04B75">
        <w:t>).</w:t>
      </w:r>
    </w:p>
    <w:p w14:paraId="02E53A4E"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 xml:space="preserve">O Contratante deverá, no prazo máximo de 15 (quinze) dias úteis, contado da data de aplicação da sanção, informar e manter atualizados os dados relativos às sanções por ela aplicadas, para fins de publicidade no Cadastro Nacional de Empresas Inidôneas e </w:t>
      </w:r>
      <w:r w:rsidRPr="00DE2273">
        <w:rPr>
          <w:rFonts w:ascii="Arial" w:eastAsia="Arial" w:hAnsi="Arial" w:cs="Arial"/>
        </w:rPr>
        <w:lastRenderedPageBreak/>
        <w:t>Suspensas (Ceis) e no Cadastro Nacional de Empresas Punidas (Cnep), instituídos no âmbito do Poder Executivo Federal.</w:t>
      </w:r>
      <w:r w:rsidRPr="00E04B75">
        <w:t xml:space="preserve"> (</w:t>
      </w:r>
      <w:hyperlink r:id="rId40" w:anchor="art161" w:history="1">
        <w:r w:rsidRPr="00E04B75">
          <w:rPr>
            <w:rStyle w:val="Hyperlink"/>
          </w:rPr>
          <w:t>Art. 161, da Lei nº 14.133, de 2021</w:t>
        </w:r>
      </w:hyperlink>
      <w:r w:rsidRPr="00E04B75">
        <w:t>).</w:t>
      </w:r>
    </w:p>
    <w:p w14:paraId="2EFA7AE8"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1" w:anchor="163" w:history="1">
        <w:r w:rsidRPr="00E04B75">
          <w:rPr>
            <w:rStyle w:val="Hyperlink"/>
          </w:rPr>
          <w:t>art. 163 da Lei nº 14.133/21</w:t>
        </w:r>
      </w:hyperlink>
      <w:r w:rsidRPr="00E04B75">
        <w:t>.</w:t>
      </w:r>
    </w:p>
    <w:p w14:paraId="5A49F571" w14:textId="77777777" w:rsidR="00370B10" w:rsidRPr="00E04B75" w:rsidRDefault="00370B10"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2" w:history="1">
        <w:r w:rsidRPr="00E04B75">
          <w:rPr>
            <w:rStyle w:val="Hyperlink"/>
          </w:rPr>
          <w:t>Normativa SEGES/ME nº 26, de 13 de abril de 2022</w:t>
        </w:r>
      </w:hyperlink>
      <w:r w:rsidRPr="00E04B75">
        <w:t xml:space="preserve">. </w:t>
      </w:r>
    </w:p>
    <w:p w14:paraId="5ACB71AD" w14:textId="05182C3C" w:rsidR="003444FD" w:rsidRDefault="00055A35" w:rsidP="00807004">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3"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4"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5"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DE2273">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807004">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6"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D444570" w:rsidR="002E43FD" w:rsidRPr="00E83AE8" w:rsidRDefault="002E43FD" w:rsidP="00807004">
      <w:pPr>
        <w:pStyle w:val="Nivel01"/>
        <w:numPr>
          <w:ilvl w:val="0"/>
          <w:numId w:val="2"/>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7" w:anchor="art92" w:history="1">
        <w:r w:rsidRPr="002E43FD">
          <w:rPr>
            <w:rStyle w:val="Hyperlink"/>
            <w:sz w:val="22"/>
            <w:szCs w:val="22"/>
          </w:rPr>
          <w:t>art. 92, VIII</w:t>
        </w:r>
      </w:hyperlink>
      <w:r w:rsidRPr="002E43FD">
        <w:rPr>
          <w:sz w:val="22"/>
          <w:szCs w:val="22"/>
        </w:rPr>
        <w:t>)</w:t>
      </w:r>
    </w:p>
    <w:p w14:paraId="2E9ABAA9" w14:textId="77777777" w:rsidR="003114FA" w:rsidRPr="003114FA" w:rsidRDefault="003114FA" w:rsidP="003114FA">
      <w:pPr>
        <w:widowControl/>
        <w:numPr>
          <w:ilvl w:val="1"/>
          <w:numId w:val="2"/>
        </w:numPr>
        <w:suppressAutoHyphens/>
        <w:autoSpaceDE/>
        <w:autoSpaceDN/>
        <w:spacing w:after="120" w:line="276" w:lineRule="auto"/>
        <w:ind w:left="0" w:firstLine="0"/>
        <w:jc w:val="both"/>
        <w:rPr>
          <w:rFonts w:ascii="Arial" w:eastAsia="Arial" w:hAnsi="Arial" w:cs="Arial"/>
        </w:rPr>
      </w:pPr>
      <w:r w:rsidRPr="003114FA">
        <w:rPr>
          <w:rFonts w:ascii="Arial" w:eastAsia="Arial" w:hAnsi="Arial" w:cs="Arial"/>
        </w:rPr>
        <w:t>As despesas decorrentes da presente contratação correrão à conta de recursos específicos consignados no Orçamento do Município, na forma abaixo:</w:t>
      </w:r>
    </w:p>
    <w:tbl>
      <w:tblPr>
        <w:tblStyle w:val="Style81"/>
        <w:tblW w:w="897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5"/>
        <w:gridCol w:w="2685"/>
        <w:gridCol w:w="1890"/>
        <w:gridCol w:w="1431"/>
      </w:tblGrid>
      <w:tr w:rsidR="003114FA" w:rsidRPr="003114FA" w14:paraId="625FD74E"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F7A2B1"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Órgão/Unidade Orçamentária</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2903BE"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Programa de Trabalho</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8166A4"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Fonte de Recursos</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4B85FB"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Natureza da Despesa</w:t>
            </w:r>
          </w:p>
        </w:tc>
      </w:tr>
      <w:tr w:rsidR="003114FA" w:rsidRPr="003114FA" w14:paraId="791EB2D7"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D3C58C"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Secretaria de Turismo</w:t>
            </w:r>
          </w:p>
        </w:tc>
        <w:tc>
          <w:tcPr>
            <w:tcW w:w="2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4E4928"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58.001.23.695.0036.2.327</w:t>
            </w:r>
          </w:p>
        </w:tc>
        <w:tc>
          <w:tcPr>
            <w:tcW w:w="18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5926F9"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38F513"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33.90.39-57</w:t>
            </w:r>
          </w:p>
        </w:tc>
      </w:tr>
      <w:tr w:rsidR="003114FA" w:rsidRPr="003114FA" w14:paraId="15B9616F" w14:textId="77777777" w:rsidTr="00B97813">
        <w:trPr>
          <w:jc w:val="center"/>
        </w:trPr>
        <w:tc>
          <w:tcPr>
            <w:tcW w:w="29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BFD340" w14:textId="77777777" w:rsidR="003114FA" w:rsidRPr="003114FA" w:rsidRDefault="003114FA" w:rsidP="003114FA">
            <w:pPr>
              <w:spacing w:after="120" w:line="276" w:lineRule="auto"/>
              <w:jc w:val="center"/>
              <w:rPr>
                <w:rFonts w:ascii="Arial" w:eastAsia="Arial" w:hAnsi="Arial" w:cs="Arial"/>
              </w:rPr>
            </w:pPr>
            <w:r w:rsidRPr="003114FA">
              <w:rPr>
                <w:rFonts w:ascii="Arial" w:eastAsia="Arial" w:hAnsi="Arial" w:cs="Arial"/>
              </w:rPr>
              <w:t>Secretaria de Cultura</w:t>
            </w:r>
          </w:p>
        </w:tc>
        <w:tc>
          <w:tcPr>
            <w:tcW w:w="268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F17FC84" w14:textId="77777777" w:rsidR="003114FA" w:rsidRPr="003114FA" w:rsidRDefault="003114FA" w:rsidP="003114FA">
            <w:pPr>
              <w:tabs>
                <w:tab w:val="left" w:pos="510"/>
              </w:tabs>
              <w:spacing w:before="120" w:after="120"/>
              <w:jc w:val="center"/>
              <w:rPr>
                <w:rFonts w:ascii="Arial" w:eastAsia="Arial" w:hAnsi="Arial" w:cs="Arial"/>
              </w:rPr>
            </w:pPr>
            <w:r w:rsidRPr="003114FA">
              <w:rPr>
                <w:rFonts w:ascii="Arial" w:eastAsia="Arial" w:hAnsi="Arial" w:cs="Arial"/>
              </w:rPr>
              <w:t>18.001.13.392.0041.2.112</w:t>
            </w:r>
          </w:p>
        </w:tc>
        <w:tc>
          <w:tcPr>
            <w:tcW w:w="189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63F2B9F" w14:textId="77777777" w:rsidR="003114FA" w:rsidRPr="003114FA" w:rsidRDefault="003114FA" w:rsidP="003114FA">
            <w:pPr>
              <w:spacing w:after="120"/>
              <w:jc w:val="center"/>
              <w:rPr>
                <w:rFonts w:ascii="Arial" w:eastAsia="Arial" w:hAnsi="Arial" w:cs="Arial"/>
              </w:rPr>
            </w:pPr>
            <w:r w:rsidRPr="003114FA">
              <w:rPr>
                <w:rFonts w:ascii="Arial" w:eastAsia="Arial" w:hAnsi="Arial" w:cs="Arial"/>
              </w:rPr>
              <w:t>1500</w:t>
            </w:r>
          </w:p>
        </w:tc>
        <w:tc>
          <w:tcPr>
            <w:tcW w:w="14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793A2C" w14:textId="77777777" w:rsidR="003114FA" w:rsidRPr="003114FA" w:rsidRDefault="003114FA" w:rsidP="003114FA">
            <w:pPr>
              <w:spacing w:after="120"/>
              <w:jc w:val="center"/>
              <w:rPr>
                <w:rFonts w:ascii="Arial" w:eastAsia="Arial" w:hAnsi="Arial" w:cs="Arial"/>
              </w:rPr>
            </w:pPr>
            <w:r w:rsidRPr="003114FA">
              <w:rPr>
                <w:rFonts w:ascii="Arial" w:eastAsia="Arial" w:hAnsi="Arial" w:cs="Arial"/>
              </w:rPr>
              <w:t>3.3.90.39-57</w:t>
            </w:r>
          </w:p>
        </w:tc>
      </w:tr>
    </w:tbl>
    <w:p w14:paraId="03DBA2B0" w14:textId="77777777" w:rsidR="003114FA" w:rsidRPr="003114FA" w:rsidRDefault="003114FA" w:rsidP="003114FA">
      <w:pPr>
        <w:spacing w:after="120" w:line="276" w:lineRule="auto"/>
        <w:jc w:val="both"/>
        <w:rPr>
          <w:rFonts w:ascii="Arial" w:eastAsia="Arial" w:hAnsi="Arial" w:cs="Arial"/>
        </w:rPr>
      </w:pPr>
    </w:p>
    <w:p w14:paraId="1BFCF8BB" w14:textId="0B49E87F" w:rsidR="003114FA" w:rsidRPr="003114FA" w:rsidRDefault="003114FA" w:rsidP="003114FA">
      <w:pPr>
        <w:spacing w:after="120" w:line="276" w:lineRule="auto"/>
        <w:jc w:val="both"/>
        <w:rPr>
          <w:rFonts w:ascii="Arial" w:eastAsia="Arial" w:hAnsi="Arial" w:cs="Arial"/>
        </w:rPr>
      </w:pPr>
      <w:r w:rsidRPr="003114FA">
        <w:rPr>
          <w:rFonts w:ascii="Arial" w:eastAsia="Arial" w:hAnsi="Arial" w:cs="Arial"/>
        </w:rPr>
        <w:t>14.2 A dotação relativa aos exercícios financeiros subsequentes será indicada após aprovação da Lei Orçamentária respectiva e liberação dos créditos correspondentes, mediante apostilamento.</w:t>
      </w:r>
    </w:p>
    <w:p w14:paraId="120C7BB4" w14:textId="09FDEB9B" w:rsidR="00D90EA5"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807004">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8" w:anchor="art124" w:history="1">
        <w:r>
          <w:rPr>
            <w:rStyle w:val="Hyperlink"/>
          </w:rPr>
          <w:t>arts. 124 e seguintes da Lei nº 14.133, de 2021</w:t>
        </w:r>
      </w:hyperlink>
      <w:r>
        <w:t>.</w:t>
      </w:r>
    </w:p>
    <w:p w14:paraId="074A5C54"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807004">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807004">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9"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807004">
      <w:pPr>
        <w:pStyle w:val="Nivel010"/>
        <w:numPr>
          <w:ilvl w:val="0"/>
          <w:numId w:val="2"/>
        </w:numPr>
        <w:rPr>
          <w:color w:val="FFFFFF" w:themeColor="background1"/>
          <w:sz w:val="22"/>
          <w:szCs w:val="22"/>
        </w:rPr>
      </w:pPr>
      <w:r w:rsidRPr="00E04B75">
        <w:rPr>
          <w:sz w:val="22"/>
          <w:szCs w:val="22"/>
        </w:rPr>
        <w:t>CLÁUSULA DÉCIMA SEXTA – PUBLICAÇÃO</w:t>
      </w:r>
    </w:p>
    <w:p w14:paraId="6D2C9166" w14:textId="4271B3D6" w:rsidR="00885E3B" w:rsidRDefault="00885E3B" w:rsidP="00807004">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0"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1" w:anchor="art8§2" w:history="1">
        <w:r w:rsidRPr="00C80C6C">
          <w:rPr>
            <w:rStyle w:val="Hyperlink"/>
          </w:rPr>
          <w:t>art. 8º, §2º, da Lei n. 12.527, de 2011</w:t>
        </w:r>
      </w:hyperlink>
      <w:r w:rsidRPr="00C80C6C">
        <w:t xml:space="preserve">, c/c </w:t>
      </w:r>
      <w:hyperlink r:id="rId52"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807004">
      <w:pPr>
        <w:pStyle w:val="Nivel010"/>
        <w:numPr>
          <w:ilvl w:val="0"/>
          <w:numId w:val="2"/>
        </w:numPr>
        <w:rPr>
          <w:sz w:val="22"/>
          <w:szCs w:val="22"/>
        </w:rPr>
      </w:pPr>
      <w:r w:rsidRPr="00C80C6C">
        <w:rPr>
          <w:sz w:val="22"/>
          <w:szCs w:val="22"/>
        </w:rPr>
        <w:t xml:space="preserve">- </w:t>
      </w:r>
      <w:r w:rsidR="00885E3B" w:rsidRPr="00C80C6C">
        <w:rPr>
          <w:sz w:val="22"/>
          <w:szCs w:val="22"/>
        </w:rPr>
        <w:t>CLÁUSULA DÉCIMA SÉTIMA– FORO (</w:t>
      </w:r>
      <w:hyperlink r:id="rId53"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807004">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807004">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50A1A25A" w:rsidR="001D32DF" w:rsidRPr="009872FB" w:rsidRDefault="001D32DF" w:rsidP="001D32DF">
      <w:pPr>
        <w:spacing w:after="120"/>
        <w:jc w:val="center"/>
        <w:rPr>
          <w:rFonts w:ascii="Arial" w:hAnsi="Arial" w:cs="Arial"/>
        </w:rPr>
      </w:pPr>
      <w:r w:rsidRPr="009872FB">
        <w:rPr>
          <w:rFonts w:ascii="Arial" w:hAnsi="Arial" w:cs="Arial"/>
        </w:rPr>
        <w:t>Responsável legal da CONTRATADA</w:t>
      </w: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BE6FC8">
      <w:headerReference w:type="default" r:id="rId54"/>
      <w:footerReference w:type="default" r:id="rId55"/>
      <w:pgSz w:w="11910" w:h="16840"/>
      <w:pgMar w:top="1418" w:right="1418" w:bottom="1418" w:left="1418" w:header="28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3495B" w14:textId="77777777" w:rsidR="006243B9" w:rsidRDefault="006243B9">
      <w:r>
        <w:separator/>
      </w:r>
    </w:p>
  </w:endnote>
  <w:endnote w:type="continuationSeparator" w:id="0">
    <w:p w14:paraId="382D173A" w14:textId="77777777" w:rsidR="006243B9" w:rsidRDefault="0062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584A9"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Comissão de Contratação - Prefeitura Municipal de Nova Friburgo/RJ</w:t>
    </w:r>
  </w:p>
  <w:p w14:paraId="6C5F3E01"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Avenida Alberto Braune, nº 224, sobreloja - Centro</w:t>
    </w:r>
  </w:p>
  <w:p w14:paraId="1CDA9ACF" w14:textId="77777777" w:rsidR="00BE6FC8" w:rsidRPr="00BE6FC8" w:rsidRDefault="00BE6FC8" w:rsidP="00BE6FC8">
    <w:pPr>
      <w:pStyle w:val="Rodap"/>
      <w:jc w:val="center"/>
      <w:rPr>
        <w:rFonts w:ascii="Azo Sans Md" w:hAnsi="Azo Sans Md"/>
        <w:b/>
        <w:bCs/>
        <w:color w:val="000000"/>
        <w:sz w:val="18"/>
        <w:szCs w:val="18"/>
      </w:rPr>
    </w:pPr>
    <w:r w:rsidRPr="00BE6FC8">
      <w:rPr>
        <w:rFonts w:ascii="Azo Sans Md" w:hAnsi="Azo Sans Md"/>
        <w:b/>
        <w:bCs/>
        <w:color w:val="000000"/>
        <w:sz w:val="18"/>
        <w:szCs w:val="18"/>
      </w:rPr>
      <w:t>Telefone (22) 2525-9100 - Ramais 292 ou 350</w:t>
    </w:r>
  </w:p>
  <w:p w14:paraId="51BD31BF" w14:textId="0971C727" w:rsidR="008743A2" w:rsidRPr="00C634F1" w:rsidRDefault="00BE6FC8" w:rsidP="00BE6FC8">
    <w:pPr>
      <w:pStyle w:val="Rodap"/>
      <w:jc w:val="center"/>
      <w:rPr>
        <w:rFonts w:ascii="Arial" w:hAnsi="Arial" w:cs="Arial"/>
        <w:color w:val="000000"/>
        <w:sz w:val="18"/>
        <w:szCs w:val="18"/>
      </w:rPr>
    </w:pPr>
    <w:r w:rsidRPr="00BE6FC8">
      <w:rPr>
        <w:rFonts w:ascii="Azo Sans Md" w:hAnsi="Azo Sans Md"/>
        <w:b/>
        <w:bCs/>
        <w:color w:val="000000"/>
        <w:sz w:val="18"/>
        <w:szCs w:val="18"/>
      </w:rPr>
      <w:t>E-mail: licitacao.cplpmnf@gmail.com</w:t>
    </w: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D8357" w14:textId="77777777" w:rsidR="006243B9" w:rsidRDefault="006243B9">
      <w:r>
        <w:separator/>
      </w:r>
    </w:p>
  </w:footnote>
  <w:footnote w:type="continuationSeparator" w:id="0">
    <w:p w14:paraId="790FCD50" w14:textId="77777777" w:rsidR="006243B9" w:rsidRDefault="00624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4" w:name="_Hlk163549712"/>
    <w:bookmarkStart w:id="5"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4"/>
    <w:bookmarkEnd w:id="5"/>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E29AB5A"/>
    <w:multiLevelType w:val="multilevel"/>
    <w:tmpl w:val="5E29AB5A"/>
    <w:lvl w:ilvl="0">
      <w:start w:val="12"/>
      <w:numFmt w:val="decimal"/>
      <w:lvlText w:val="%1."/>
      <w:lvlJc w:val="left"/>
      <w:pPr>
        <w:ind w:left="0" w:firstLine="0"/>
      </w:pPr>
    </w:lvl>
    <w:lvl w:ilvl="1">
      <w:start w:val="1"/>
      <w:numFmt w:val="decimal"/>
      <w:lvlText w:val="%1.%2"/>
      <w:lvlJc w:val="left"/>
      <w:pPr>
        <w:ind w:left="0" w:firstLine="0"/>
      </w:pPr>
      <w:rPr>
        <w:rFonts w:ascii="Calibri" w:eastAsia="Arial" w:hAnsi="Calibri" w:cs="Calibri" w:hint="default"/>
        <w:b/>
        <w:bCs w:val="0"/>
        <w:sz w:val="22"/>
        <w:szCs w:val="22"/>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05650282">
    <w:abstractNumId w:val="0"/>
  </w:num>
  <w:num w:numId="2" w16cid:durableId="1880162868">
    <w:abstractNumId w:val="4"/>
  </w:num>
  <w:num w:numId="3" w16cid:durableId="1434015780">
    <w:abstractNumId w:val="1"/>
  </w:num>
  <w:num w:numId="4" w16cid:durableId="137959111">
    <w:abstractNumId w:val="5"/>
  </w:num>
  <w:num w:numId="5" w16cid:durableId="971251394">
    <w:abstractNumId w:val="2"/>
  </w:num>
  <w:num w:numId="6" w16cid:durableId="2024699326">
    <w:abstractNumId w:val="9"/>
  </w:num>
  <w:num w:numId="7" w16cid:durableId="1435397714">
    <w:abstractNumId w:val="3"/>
  </w:num>
  <w:num w:numId="8" w16cid:durableId="1275675634">
    <w:abstractNumId w:val="7"/>
  </w:num>
  <w:num w:numId="9" w16cid:durableId="1945265323">
    <w:abstractNumId w:val="6"/>
  </w:num>
  <w:num w:numId="10" w16cid:durableId="31634564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2AA7"/>
    <w:rsid w:val="000C75B5"/>
    <w:rsid w:val="000D17CB"/>
    <w:rsid w:val="000D45F1"/>
    <w:rsid w:val="000D6176"/>
    <w:rsid w:val="000E4CF2"/>
    <w:rsid w:val="000E4D70"/>
    <w:rsid w:val="000E5201"/>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14FA"/>
    <w:rsid w:val="00315F43"/>
    <w:rsid w:val="00320761"/>
    <w:rsid w:val="0032285B"/>
    <w:rsid w:val="00323F3D"/>
    <w:rsid w:val="00326DB2"/>
    <w:rsid w:val="00335CC7"/>
    <w:rsid w:val="003370B0"/>
    <w:rsid w:val="003378B0"/>
    <w:rsid w:val="00341875"/>
    <w:rsid w:val="00342284"/>
    <w:rsid w:val="003444FD"/>
    <w:rsid w:val="00347799"/>
    <w:rsid w:val="0035743C"/>
    <w:rsid w:val="003578AC"/>
    <w:rsid w:val="0036128D"/>
    <w:rsid w:val="0036493F"/>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57E42"/>
    <w:rsid w:val="00461F93"/>
    <w:rsid w:val="00466044"/>
    <w:rsid w:val="00466BF6"/>
    <w:rsid w:val="004735E6"/>
    <w:rsid w:val="0047582C"/>
    <w:rsid w:val="00475936"/>
    <w:rsid w:val="0048007A"/>
    <w:rsid w:val="00481DB0"/>
    <w:rsid w:val="00490E4C"/>
    <w:rsid w:val="004959AC"/>
    <w:rsid w:val="00496A72"/>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5CF1"/>
    <w:rsid w:val="0050609F"/>
    <w:rsid w:val="0050761F"/>
    <w:rsid w:val="00510C82"/>
    <w:rsid w:val="00515DDB"/>
    <w:rsid w:val="005241B8"/>
    <w:rsid w:val="005258A4"/>
    <w:rsid w:val="00532FA9"/>
    <w:rsid w:val="00543FF0"/>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3B9"/>
    <w:rsid w:val="0062482D"/>
    <w:rsid w:val="006306EF"/>
    <w:rsid w:val="00633BD8"/>
    <w:rsid w:val="00637E49"/>
    <w:rsid w:val="00641674"/>
    <w:rsid w:val="00645026"/>
    <w:rsid w:val="00646682"/>
    <w:rsid w:val="006709DA"/>
    <w:rsid w:val="0067457F"/>
    <w:rsid w:val="0068504B"/>
    <w:rsid w:val="00691421"/>
    <w:rsid w:val="006A1B6A"/>
    <w:rsid w:val="006B62AB"/>
    <w:rsid w:val="006B70B8"/>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11CE"/>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2A8"/>
    <w:rsid w:val="008C6F60"/>
    <w:rsid w:val="008D3457"/>
    <w:rsid w:val="008D5F7A"/>
    <w:rsid w:val="008D78EA"/>
    <w:rsid w:val="008E1A25"/>
    <w:rsid w:val="008E4F62"/>
    <w:rsid w:val="008E5AD6"/>
    <w:rsid w:val="008E65D4"/>
    <w:rsid w:val="008E6D4F"/>
    <w:rsid w:val="0090165D"/>
    <w:rsid w:val="009039E8"/>
    <w:rsid w:val="009061B6"/>
    <w:rsid w:val="009063BB"/>
    <w:rsid w:val="00911D57"/>
    <w:rsid w:val="009162EB"/>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0C6C"/>
    <w:rsid w:val="00BB36D3"/>
    <w:rsid w:val="00BB3B8F"/>
    <w:rsid w:val="00BB408F"/>
    <w:rsid w:val="00BB527C"/>
    <w:rsid w:val="00BB61D2"/>
    <w:rsid w:val="00BD4347"/>
    <w:rsid w:val="00BE3C4E"/>
    <w:rsid w:val="00BE3CE6"/>
    <w:rsid w:val="00BE40A2"/>
    <w:rsid w:val="00BE429A"/>
    <w:rsid w:val="00BE4E9F"/>
    <w:rsid w:val="00BE6FC8"/>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1DE6"/>
    <w:rsid w:val="00D97BF6"/>
    <w:rsid w:val="00DA0D02"/>
    <w:rsid w:val="00DA57AB"/>
    <w:rsid w:val="00DA7D88"/>
    <w:rsid w:val="00DB1B33"/>
    <w:rsid w:val="00DB4906"/>
    <w:rsid w:val="00DB6EA1"/>
    <w:rsid w:val="00DC50A5"/>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3AE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03C5"/>
    <w:rsid w:val="00FA307E"/>
    <w:rsid w:val="00FA5861"/>
    <w:rsid w:val="00FB230B"/>
    <w:rsid w:val="00FB71A6"/>
    <w:rsid w:val="00FC22BB"/>
    <w:rsid w:val="00FD1E76"/>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table" w:customStyle="1" w:styleId="Style81">
    <w:name w:val="_Style 81"/>
    <w:basedOn w:val="TableNormal"/>
    <w:qFormat/>
    <w:rsid w:val="003114FA"/>
    <w:rPr>
      <w:rFonts w:ascii="Times New Roman" w:eastAsia="SimSun" w:hAnsi="Times New Roman" w:cs="Times New Roman"/>
    </w:rPr>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settings" Target="settings.xml"/><Relationship Id="rId19" Type="http://schemas.openxmlformats.org/officeDocument/2006/relationships/hyperlink" Target="https://www.planalto.gov.br/ccivil_03/_ato2015-2018/2018/lei/l13709.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6507</Words>
  <Characters>35141</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Thalles Tadeu Nogueira Gomes</cp:lastModifiedBy>
  <cp:revision>59</cp:revision>
  <cp:lastPrinted>2025-12-29T14:21:00Z</cp:lastPrinted>
  <dcterms:created xsi:type="dcterms:W3CDTF">2023-08-18T18:10:00Z</dcterms:created>
  <dcterms:modified xsi:type="dcterms:W3CDTF">2025-12-29T14:21:00Z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